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en-US"/>
          <w14:textFill>
            <w14:solidFill>
              <w14:srgbClr w14:val="212529"/>
            </w14:solidFill>
          </w14:textFill>
        </w:rPr>
        <w:t>Sustain the Flame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Explanation: An assembly of hand-shaped candles stands in a landscape that mimics an urban context. They all begin as a symbolic liberty torch and are in the process of melting away to reveal a protest fist within. The match and candle snuffer suggest conscious action: to put in the work, to avoid the change, or to just stand by.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sv-SE"/>
          <w14:textFill>
            <w14:solidFill>
              <w14:srgbClr w14:val="212529"/>
            </w14:solidFill>
          </w14:textFill>
        </w:rPr>
        <w:t>Lesson: Repeated behaviors have compounded into a mass of unequal treatment of certain groups in America. We as individuals and a greater society need to recognize and unlearn old behaviors in order to sustain a long-term fight for change. The slow-burning wax represents the continual action towards standing up to the unfulfilled promises of equal opportunity and liberty.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